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AFD" w:rsidRPr="00B423E2" w:rsidRDefault="00FC6AFD" w:rsidP="00FC6AFD">
      <w:pPr>
        <w:tabs>
          <w:tab w:val="left" w:pos="2835"/>
        </w:tabs>
      </w:pPr>
      <w:r w:rsidRPr="00C22B15">
        <w:rPr>
          <w:noProof/>
          <w:lang w:eastAsia="cs-CZ"/>
        </w:rPr>
        <w:drawing>
          <wp:anchor distT="0" distB="0" distL="114935" distR="114935" simplePos="0" relativeHeight="251658240" behindDoc="1" locked="0" layoutInCell="1" allowOverlap="1" wp14:anchorId="04D8ABE6" wp14:editId="07475307">
            <wp:simplePos x="0" y="0"/>
            <wp:positionH relativeFrom="margin">
              <wp:posOffset>5206365</wp:posOffset>
            </wp:positionH>
            <wp:positionV relativeFrom="paragraph">
              <wp:posOffset>-51435</wp:posOffset>
            </wp:positionV>
            <wp:extent cx="546735" cy="648335"/>
            <wp:effectExtent l="0" t="0" r="571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6735" cy="648335"/>
                    </a:xfrm>
                    <a:prstGeom prst="rect">
                      <a:avLst/>
                    </a:prstGeom>
                    <a:solidFill>
                      <a:srgbClr val="FFFFFF"/>
                    </a:solidFill>
                    <a:ln>
                      <a:noFill/>
                    </a:ln>
                  </pic:spPr>
                </pic:pic>
              </a:graphicData>
            </a:graphic>
          </wp:anchor>
        </w:drawing>
      </w:r>
      <w:r w:rsidR="00CD181C" w:rsidRPr="00C22B15">
        <w:rPr>
          <w:noProof/>
          <w:lang w:eastAsia="cs-CZ"/>
        </w:rPr>
        <w:t>Z</w:t>
      </w:r>
      <w:r w:rsidRPr="00C22B15">
        <w:rPr>
          <w:noProof/>
          <w:lang w:eastAsia="cs-CZ"/>
        </w:rPr>
        <w:t>M</w:t>
      </w:r>
      <w:r w:rsidR="00CD7643" w:rsidRPr="00C22B15">
        <w:rPr>
          <w:noProof/>
          <w:lang w:eastAsia="cs-CZ"/>
        </w:rPr>
        <w:t xml:space="preserve"> </w:t>
      </w:r>
      <w:r w:rsidR="000421E8">
        <w:t>XIX</w:t>
      </w:r>
      <w:r w:rsidR="00C22B15" w:rsidRPr="005B424A">
        <w:rPr>
          <w:noProof/>
          <w:lang w:eastAsia="cs-CZ"/>
        </w:rPr>
        <w:t xml:space="preserve"> </w:t>
      </w:r>
      <w:r w:rsidR="00CD7643" w:rsidRPr="005B424A">
        <w:rPr>
          <w:noProof/>
          <w:lang w:eastAsia="cs-CZ"/>
        </w:rPr>
        <w:t>/</w:t>
      </w:r>
      <w:r w:rsidR="00C22B15">
        <w:rPr>
          <w:noProof/>
          <w:lang w:eastAsia="cs-CZ"/>
        </w:rPr>
        <w:t>1</w:t>
      </w:r>
      <w:r w:rsidR="000421E8">
        <w:rPr>
          <w:noProof/>
          <w:lang w:eastAsia="cs-CZ"/>
        </w:rPr>
        <w:t>1</w:t>
      </w:r>
      <w:r w:rsidR="00CD7643" w:rsidRPr="005B424A">
        <w:t xml:space="preserve"> – </w:t>
      </w:r>
      <w:r w:rsidR="005B081A">
        <w:t>0</w:t>
      </w:r>
      <w:r w:rsidR="000421E8">
        <w:t>8</w:t>
      </w:r>
      <w:r w:rsidR="00CD7643" w:rsidRPr="005B424A">
        <w:t xml:space="preserve">. </w:t>
      </w:r>
      <w:r w:rsidR="005B081A">
        <w:t>0</w:t>
      </w:r>
      <w:r w:rsidR="00CD7643" w:rsidRPr="005B424A">
        <w:t>9. 20</w:t>
      </w:r>
      <w:r w:rsidR="00C22B15">
        <w:t>2</w:t>
      </w:r>
      <w:r w:rsidR="000421E8">
        <w:t>5</w:t>
      </w:r>
      <w:r w:rsidRPr="00F66DA2">
        <w:t> </w:t>
      </w:r>
      <w:r>
        <w:tab/>
      </w:r>
      <w:r w:rsidRPr="00B423E2">
        <w:tab/>
      </w:r>
      <w:r w:rsidRPr="00B423E2">
        <w:tab/>
      </w:r>
      <w:r w:rsidRPr="00B423E2">
        <w:tab/>
      </w:r>
      <w:r w:rsidRPr="00B423E2">
        <w:tab/>
      </w:r>
      <w:r w:rsidRPr="00B423E2">
        <w:tab/>
      </w:r>
    </w:p>
    <w:p w:rsidR="00FC6AFD" w:rsidRDefault="00FC6AFD" w:rsidP="00FC6AFD">
      <w:pPr>
        <w:ind w:left="5664"/>
      </w:pPr>
      <w:r>
        <w:t xml:space="preserve">                                                                                                  </w:t>
      </w:r>
    </w:p>
    <w:p w:rsidR="00FC6AFD" w:rsidRDefault="00FC6AFD" w:rsidP="00FC6AFD">
      <w:pPr>
        <w:rPr>
          <w:b/>
        </w:rPr>
      </w:pPr>
      <w:r>
        <w:rPr>
          <w:b/>
        </w:rPr>
        <w:t xml:space="preserve">                          </w:t>
      </w:r>
    </w:p>
    <w:p w:rsidR="00FC6AFD" w:rsidRDefault="00FC6AFD" w:rsidP="00FC6AFD">
      <w:pPr>
        <w:jc w:val="center"/>
        <w:rPr>
          <w:b/>
          <w:sz w:val="28"/>
          <w:szCs w:val="28"/>
          <w:u w:val="single"/>
        </w:rPr>
      </w:pPr>
    </w:p>
    <w:p w:rsidR="00FC6AFD" w:rsidRDefault="00FC6AFD" w:rsidP="00FC6AFD">
      <w:pPr>
        <w:spacing w:line="360" w:lineRule="auto"/>
        <w:jc w:val="center"/>
        <w:rPr>
          <w:b/>
          <w:sz w:val="28"/>
          <w:szCs w:val="28"/>
          <w:u w:val="single"/>
        </w:rPr>
      </w:pPr>
      <w:r w:rsidRPr="006621E7">
        <w:rPr>
          <w:b/>
          <w:sz w:val="28"/>
          <w:szCs w:val="28"/>
          <w:u w:val="single"/>
        </w:rPr>
        <w:t xml:space="preserve">Materiál pro </w:t>
      </w:r>
      <w:r w:rsidR="00CD181C">
        <w:rPr>
          <w:b/>
          <w:sz w:val="28"/>
          <w:szCs w:val="28"/>
          <w:u w:val="single"/>
        </w:rPr>
        <w:t>Za</w:t>
      </w:r>
      <w:r w:rsidR="00096FDB">
        <w:rPr>
          <w:b/>
          <w:sz w:val="28"/>
          <w:szCs w:val="28"/>
          <w:u w:val="single"/>
        </w:rPr>
        <w:t>s</w:t>
      </w:r>
      <w:r w:rsidR="00CD181C">
        <w:rPr>
          <w:b/>
          <w:sz w:val="28"/>
          <w:szCs w:val="28"/>
          <w:u w:val="single"/>
        </w:rPr>
        <w:t>tupitelstvo</w:t>
      </w:r>
      <w:r w:rsidRPr="006621E7">
        <w:rPr>
          <w:b/>
          <w:sz w:val="28"/>
          <w:szCs w:val="28"/>
          <w:u w:val="single"/>
        </w:rPr>
        <w:t xml:space="preserve"> města Kyjova</w:t>
      </w:r>
    </w:p>
    <w:p w:rsidR="00FC6AFD" w:rsidRDefault="00FC6AFD" w:rsidP="00FC6AFD">
      <w:pPr>
        <w:tabs>
          <w:tab w:val="left" w:pos="5760"/>
        </w:tabs>
        <w:ind w:left="2880" w:hanging="2880"/>
        <w:jc w:val="both"/>
        <w:rPr>
          <w:b/>
          <w:u w:val="single"/>
        </w:rPr>
      </w:pPr>
    </w:p>
    <w:p w:rsidR="00FC6AFD" w:rsidRPr="00D66B48" w:rsidRDefault="00FC6AFD" w:rsidP="00FC6AFD">
      <w:pPr>
        <w:tabs>
          <w:tab w:val="left" w:pos="2880"/>
        </w:tabs>
        <w:ind w:left="2832" w:hanging="2832"/>
      </w:pPr>
      <w:r w:rsidRPr="00D66B48">
        <w:rPr>
          <w:b/>
          <w:u w:val="single"/>
        </w:rPr>
        <w:t>Předmět jednání:</w:t>
      </w:r>
      <w:r w:rsidRPr="00D66B48">
        <w:rPr>
          <w:b/>
        </w:rPr>
        <w:tab/>
      </w:r>
      <w:r w:rsidRPr="00D66B48">
        <w:t xml:space="preserve">Schválení aktualizované „Minimální sítě sociálních služeb </w:t>
      </w:r>
      <w:r w:rsidR="00B90C0B">
        <w:t xml:space="preserve">v ORP Kyjov </w:t>
      </w:r>
      <w:r w:rsidRPr="00D66B48">
        <w:t>pro rok 20</w:t>
      </w:r>
      <w:r w:rsidR="00391FF8">
        <w:t>2</w:t>
      </w:r>
      <w:r w:rsidR="005B081A">
        <w:t>6</w:t>
      </w:r>
      <w:r w:rsidRPr="00D66B48">
        <w:t>“ a jejího financování</w:t>
      </w:r>
    </w:p>
    <w:p w:rsidR="00FC6AFD" w:rsidRPr="00736D44" w:rsidRDefault="00FC6AFD" w:rsidP="00FC6AFD">
      <w:pPr>
        <w:tabs>
          <w:tab w:val="left" w:pos="5760"/>
        </w:tabs>
        <w:ind w:left="2880" w:hanging="2880"/>
        <w:jc w:val="both"/>
        <w:rPr>
          <w:highlight w:val="yellow"/>
        </w:rPr>
      </w:pPr>
    </w:p>
    <w:p w:rsidR="00FC6AFD" w:rsidRPr="00D66B48" w:rsidRDefault="00FC6AFD" w:rsidP="00FC6AFD">
      <w:pPr>
        <w:tabs>
          <w:tab w:val="left" w:pos="2880"/>
        </w:tabs>
        <w:ind w:left="2835" w:hanging="2835"/>
      </w:pPr>
      <w:r w:rsidRPr="00D66B48">
        <w:rPr>
          <w:b/>
          <w:u w:val="single"/>
        </w:rPr>
        <w:t>Předkladatel:</w:t>
      </w:r>
      <w:r w:rsidRPr="00D66B48">
        <w:rPr>
          <w:b/>
        </w:rPr>
        <w:tab/>
      </w:r>
      <w:r w:rsidR="0033643D">
        <w:t>Rada města Kyjova</w:t>
      </w:r>
    </w:p>
    <w:p w:rsidR="00FC6AFD" w:rsidRPr="00736D44" w:rsidRDefault="00FC6AFD" w:rsidP="00FC6AFD">
      <w:pPr>
        <w:tabs>
          <w:tab w:val="left" w:pos="2880"/>
        </w:tabs>
        <w:rPr>
          <w:highlight w:val="yellow"/>
        </w:rPr>
      </w:pPr>
    </w:p>
    <w:p w:rsidR="00FC6AFD" w:rsidRPr="00D66B48" w:rsidRDefault="00FC6AFD" w:rsidP="00FC6AFD">
      <w:pPr>
        <w:tabs>
          <w:tab w:val="left" w:pos="2835"/>
        </w:tabs>
        <w:ind w:left="2835" w:hanging="2835"/>
      </w:pPr>
      <w:r w:rsidRPr="00D66B48">
        <w:rPr>
          <w:b/>
          <w:u w:val="single"/>
        </w:rPr>
        <w:t>Zpracovatel:</w:t>
      </w:r>
      <w:r w:rsidRPr="00D66B48">
        <w:tab/>
      </w:r>
      <w:r w:rsidR="00B90C0B">
        <w:t xml:space="preserve">Bc. </w:t>
      </w:r>
      <w:r w:rsidR="00C22B15">
        <w:t>Marcela Prchalová, DiS.</w:t>
      </w:r>
      <w:r w:rsidR="007215F0" w:rsidRPr="00D66B48">
        <w:t xml:space="preserve">, </w:t>
      </w:r>
      <w:r w:rsidR="00B90C0B" w:rsidRPr="00B90C0B">
        <w:t>koordinátorka komunitního plánování sociálních služeb Kyjovska</w:t>
      </w:r>
    </w:p>
    <w:p w:rsidR="00FC6AFD" w:rsidRPr="00736D44" w:rsidRDefault="00FC6AFD" w:rsidP="00FC6AFD">
      <w:pPr>
        <w:tabs>
          <w:tab w:val="left" w:pos="2880"/>
        </w:tabs>
        <w:rPr>
          <w:b/>
          <w:highlight w:val="yellow"/>
          <w:u w:val="single"/>
        </w:rPr>
      </w:pPr>
    </w:p>
    <w:p w:rsidR="00FC6AFD" w:rsidRDefault="00FC6AFD" w:rsidP="00FC6AFD">
      <w:pPr>
        <w:tabs>
          <w:tab w:val="left" w:pos="2835"/>
          <w:tab w:val="left" w:pos="2880"/>
        </w:tabs>
        <w:ind w:left="851" w:hanging="851"/>
      </w:pPr>
      <w:r w:rsidRPr="00D66B48">
        <w:rPr>
          <w:b/>
          <w:u w:val="single"/>
        </w:rPr>
        <w:t>Zpracováno dne:</w:t>
      </w:r>
      <w:r w:rsidR="00D66B48">
        <w:tab/>
      </w:r>
      <w:r w:rsidR="003D12DC">
        <w:t>2</w:t>
      </w:r>
      <w:r w:rsidR="001B6482">
        <w:t>7</w:t>
      </w:r>
      <w:r w:rsidR="00D66B48">
        <w:t xml:space="preserve">. </w:t>
      </w:r>
      <w:r w:rsidR="00391FF8">
        <w:t>srpna</w:t>
      </w:r>
      <w:r w:rsidR="00D66B48">
        <w:t xml:space="preserve"> 20</w:t>
      </w:r>
      <w:r w:rsidR="00C22B15">
        <w:t>2</w:t>
      </w:r>
      <w:r w:rsidR="005B081A">
        <w:t>5</w:t>
      </w:r>
      <w:r>
        <w:tab/>
      </w:r>
    </w:p>
    <w:p w:rsidR="00FC6AFD" w:rsidRDefault="00FC6AFD" w:rsidP="00FC6AFD">
      <w:pPr>
        <w:tabs>
          <w:tab w:val="left" w:pos="2880"/>
        </w:tabs>
      </w:pPr>
    </w:p>
    <w:p w:rsidR="00FC6AFD" w:rsidRDefault="00FC6AFD" w:rsidP="00FC6AFD">
      <w:pPr>
        <w:tabs>
          <w:tab w:val="left" w:pos="2880"/>
        </w:tabs>
      </w:pPr>
      <w:r>
        <w:rPr>
          <w:b/>
          <w:u w:val="single"/>
        </w:rPr>
        <w:t>Návrh na usnesení:</w:t>
      </w:r>
      <w:r>
        <w:t xml:space="preserve">   </w:t>
      </w:r>
      <w:r>
        <w:tab/>
        <w:t xml:space="preserve">     </w:t>
      </w:r>
    </w:p>
    <w:p w:rsidR="00FC6AFD" w:rsidRDefault="00FC6AFD" w:rsidP="00FC6AFD">
      <w:pPr>
        <w:spacing w:line="360" w:lineRule="auto"/>
        <w:jc w:val="both"/>
        <w:rPr>
          <w:i/>
        </w:rPr>
      </w:pPr>
    </w:p>
    <w:p w:rsidR="001B6482" w:rsidRDefault="001B6482" w:rsidP="001B6482">
      <w:pPr>
        <w:spacing w:line="360" w:lineRule="auto"/>
        <w:jc w:val="both"/>
        <w:rPr>
          <w:i/>
        </w:rPr>
      </w:pPr>
      <w:r>
        <w:rPr>
          <w:i/>
          <w:iCs/>
        </w:rPr>
        <w:t xml:space="preserve">Zastupitelstvo města Kyjova po projednání a v souladu s ustanovením § 84 odst. 4 zákona č. 128/2000 Sb., o obcích (obecní zřízení), ve znění pozdějších předpisů, schvaluje </w:t>
      </w:r>
      <w:r w:rsidRPr="000F5F1C">
        <w:rPr>
          <w:i/>
        </w:rPr>
        <w:t xml:space="preserve">aktualizovanou "Minimální síť </w:t>
      </w:r>
      <w:r>
        <w:rPr>
          <w:i/>
        </w:rPr>
        <w:t>sociálních služeb v ORP Kyjov pro rok 2026“ a její financování s navýšením nákladů o 5% oproti r. 2025.</w:t>
      </w:r>
    </w:p>
    <w:p w:rsidR="008E3DAA" w:rsidRPr="000F5F1C" w:rsidRDefault="008E3DAA" w:rsidP="00FC6AFD">
      <w:pPr>
        <w:spacing w:line="360" w:lineRule="auto"/>
        <w:jc w:val="both"/>
        <w:rPr>
          <w:i/>
        </w:rPr>
      </w:pPr>
    </w:p>
    <w:p w:rsidR="00FC6AFD" w:rsidRPr="00A63CFB" w:rsidRDefault="00FC6AFD" w:rsidP="00FC6AFD">
      <w:pPr>
        <w:spacing w:line="360" w:lineRule="auto"/>
        <w:jc w:val="both"/>
        <w:rPr>
          <w:b/>
          <w:u w:val="single"/>
        </w:rPr>
      </w:pPr>
      <w:r w:rsidRPr="00A63CFB">
        <w:rPr>
          <w:b/>
          <w:u w:val="single"/>
        </w:rPr>
        <w:t>Důvodová zpráva:</w:t>
      </w:r>
    </w:p>
    <w:p w:rsidR="00BB7FE0" w:rsidRDefault="00BB7FE0" w:rsidP="00BB7FE0">
      <w:pPr>
        <w:spacing w:line="360" w:lineRule="auto"/>
        <w:jc w:val="both"/>
      </w:pPr>
      <w:r w:rsidRPr="004C11A4">
        <w:t xml:space="preserve">Jihomoravský kraj na základě </w:t>
      </w:r>
      <w:r w:rsidRPr="004142CA">
        <w:t>Pravid</w:t>
      </w:r>
      <w:r>
        <w:t>el</w:t>
      </w:r>
      <w:r w:rsidRPr="004142CA">
        <w:t xml:space="preserve"> </w:t>
      </w:r>
      <w:r>
        <w:t>základní</w:t>
      </w:r>
      <w:r w:rsidRPr="004142CA">
        <w:t xml:space="preserve"> sítě sociálních služeb v Jihomoravském kraji pro </w:t>
      </w:r>
      <w:r>
        <w:t>období</w:t>
      </w:r>
      <w:r w:rsidRPr="004142CA">
        <w:t xml:space="preserve"> 202</w:t>
      </w:r>
      <w:r>
        <w:t>5 - 2026</w:t>
      </w:r>
      <w:r w:rsidRPr="004C11A4">
        <w:t xml:space="preserve"> </w:t>
      </w:r>
      <w:r>
        <w:t>požádal</w:t>
      </w:r>
      <w:r w:rsidRPr="004C11A4">
        <w:t xml:space="preserve"> obce s rozšířenou působností o spolupráci na vytvoření návrhu sítě sociálních služeb na okresní úrovni, která odráží prio</w:t>
      </w:r>
      <w:r>
        <w:t>rity a potřeby jednotlivých ORP. Služby uvedené v navržené síti jsou zařazeny jako služby v obecném hospodářském zájmu a financování těchto služeb musí splňovat podmínky Evropské legislativy. Jihomoravský kraj realizuje finanční podporu v návaznosti na Rozhodnutí Komise (č. 2012/21/EU) ze dne 21. 12. 2011) – což znamená, že dotace sociálním službám jsou poskytovány ve formě vyrovnávací platby za závazek veřejné služby.</w:t>
      </w:r>
    </w:p>
    <w:p w:rsidR="00BB7FE0" w:rsidRDefault="00BB7FE0" w:rsidP="00BB7FE0">
      <w:pPr>
        <w:spacing w:before="120" w:line="360" w:lineRule="auto"/>
        <w:jc w:val="both"/>
      </w:pPr>
      <w:r>
        <w:t xml:space="preserve">V materiálu </w:t>
      </w:r>
      <w:r w:rsidRPr="004142CA">
        <w:t xml:space="preserve">Pravidla </w:t>
      </w:r>
      <w:r>
        <w:t>základní</w:t>
      </w:r>
      <w:r w:rsidRPr="004142CA">
        <w:t xml:space="preserve"> sítě sociálních s</w:t>
      </w:r>
      <w:r>
        <w:t>lužeb v Jihomoravském kraji na období</w:t>
      </w:r>
      <w:r w:rsidRPr="004142CA">
        <w:t xml:space="preserve"> 202</w:t>
      </w:r>
      <w:r>
        <w:t>5 - 2026 (</w:t>
      </w:r>
      <w:r w:rsidRPr="00915787">
        <w:rPr>
          <w:szCs w:val="22"/>
        </w:rPr>
        <w:t>Radou Jihomoravského kraje dne 10. 1. 2024 usnesením č. 8604/24/R12</w:t>
      </w:r>
      <w:r w:rsidRPr="00915787">
        <w:rPr>
          <w:sz w:val="28"/>
        </w:rPr>
        <w:t>)</w:t>
      </w:r>
      <w:r>
        <w:t xml:space="preserve"> kraj uvedl, že jednou z nezbytných podmínek pro zařazení služby do </w:t>
      </w:r>
      <w:r>
        <w:rPr>
          <w:rFonts w:cs="Tahoma"/>
        </w:rPr>
        <w:t xml:space="preserve">Základní sítě JMK je </w:t>
      </w:r>
      <w:r w:rsidRPr="004C11A4">
        <w:t xml:space="preserve">deklarace potřebnosti a podpory příslušné obce s rozšířenou působností </w:t>
      </w:r>
      <w:r>
        <w:t xml:space="preserve">(dále jen „ORP“). </w:t>
      </w:r>
    </w:p>
    <w:p w:rsidR="00BB7FE0" w:rsidRDefault="00BB7FE0" w:rsidP="00BB7FE0">
      <w:pPr>
        <w:spacing w:before="120" w:line="360" w:lineRule="auto"/>
        <w:jc w:val="both"/>
      </w:pPr>
      <w:r>
        <w:t xml:space="preserve">Výsledná Minimální síť sociálních služeb v </w:t>
      </w:r>
      <w:proofErr w:type="spellStart"/>
      <w:r>
        <w:t>JmK</w:t>
      </w:r>
      <w:proofErr w:type="spellEnd"/>
      <w:r>
        <w:t xml:space="preserve"> pro r. 202</w:t>
      </w:r>
      <w:r w:rsidR="005B081A">
        <w:t>6</w:t>
      </w:r>
      <w:r>
        <w:t xml:space="preserve">, stejně jako v minulých letech, obsahuje služby, které </w:t>
      </w:r>
      <w:r w:rsidR="005B081A">
        <w:t xml:space="preserve">jednotlivá </w:t>
      </w:r>
      <w:r>
        <w:t>ORP vyhodnotil</w:t>
      </w:r>
      <w:r w:rsidR="005B081A">
        <w:t>a</w:t>
      </w:r>
      <w:r>
        <w:t xml:space="preserve"> jako potřebné</w:t>
      </w:r>
      <w:r w:rsidR="005B081A">
        <w:t xml:space="preserve"> a na provozu těchto služeb budou</w:t>
      </w:r>
      <w:r>
        <w:t xml:space="preserve"> finančně participovat. </w:t>
      </w:r>
    </w:p>
    <w:p w:rsidR="000028FC" w:rsidRDefault="000028FC" w:rsidP="000028FC">
      <w:pPr>
        <w:spacing w:before="120" w:line="360" w:lineRule="auto"/>
        <w:jc w:val="both"/>
      </w:pPr>
      <w:r w:rsidRPr="00F93113">
        <w:lastRenderedPageBreak/>
        <w:t>Podoba Minimální sítě sociálních služeb na Kyjovsku pro rok 202</w:t>
      </w:r>
      <w:r>
        <w:t>6</w:t>
      </w:r>
      <w:r w:rsidRPr="00F93113">
        <w:t xml:space="preserve"> byla Radou města Kyjova schválena na jejím </w:t>
      </w:r>
      <w:r>
        <w:t>73</w:t>
      </w:r>
      <w:r w:rsidRPr="00F93113">
        <w:t>. zasedání</w:t>
      </w:r>
      <w:r>
        <w:t>, u</w:t>
      </w:r>
      <w:r w:rsidRPr="00F93113">
        <w:t>snesení</w:t>
      </w:r>
      <w:r>
        <w:t>m</w:t>
      </w:r>
      <w:r w:rsidRPr="00F93113">
        <w:t xml:space="preserve"> č. </w:t>
      </w:r>
      <w:r>
        <w:t>73</w:t>
      </w:r>
      <w:r w:rsidRPr="00F93113">
        <w:t>/</w:t>
      </w:r>
      <w:r>
        <w:t>45</w:t>
      </w:r>
      <w:r w:rsidRPr="00F93113">
        <w:t xml:space="preserve">. </w:t>
      </w:r>
      <w:r>
        <w:t xml:space="preserve">V rámci rozvoje Minimální sítě sociálních služeb v ORP Kyjov pro příští rok (2026) bylo schváleno několik změn, které se dotknou rozpočtu města a obcí, a to: </w:t>
      </w:r>
    </w:p>
    <w:p w:rsidR="000028FC" w:rsidRPr="00FA56BB" w:rsidRDefault="000028FC" w:rsidP="000028FC">
      <w:pPr>
        <w:numPr>
          <w:ilvl w:val="0"/>
          <w:numId w:val="3"/>
        </w:numPr>
        <w:suppressAutoHyphens w:val="0"/>
        <w:spacing w:line="360" w:lineRule="auto"/>
        <w:jc w:val="both"/>
      </w:pPr>
      <w:r w:rsidRPr="00FA56BB">
        <w:rPr>
          <w:b/>
        </w:rPr>
        <w:t>zvýšení o 1,25 úvazku denního stacionáře Centra pro rodinu a sociální péči Hodonín</w:t>
      </w:r>
      <w:r w:rsidRPr="00FA56BB">
        <w:t>,</w:t>
      </w:r>
      <w:r>
        <w:t xml:space="preserve"> </w:t>
      </w:r>
      <w:r w:rsidRPr="000808E1">
        <w:rPr>
          <w:b/>
        </w:rPr>
        <w:t xml:space="preserve">(v r. 2026 </w:t>
      </w:r>
      <w:r w:rsidRPr="00FA56BB">
        <w:rPr>
          <w:b/>
        </w:rPr>
        <w:t xml:space="preserve">celkem 10 úvazků </w:t>
      </w:r>
      <w:proofErr w:type="gramStart"/>
      <w:r w:rsidRPr="00FA56BB">
        <w:rPr>
          <w:b/>
        </w:rPr>
        <w:t xml:space="preserve">PP </w:t>
      </w:r>
      <w:r>
        <w:rPr>
          <w:b/>
        </w:rPr>
        <w:t xml:space="preserve">) </w:t>
      </w:r>
      <w:r w:rsidRPr="00FA56BB">
        <w:rPr>
          <w:b/>
        </w:rPr>
        <w:t xml:space="preserve">– </w:t>
      </w:r>
      <w:r w:rsidRPr="00FA56BB">
        <w:t>jde</w:t>
      </w:r>
      <w:proofErr w:type="gramEnd"/>
      <w:r w:rsidRPr="00FA56BB">
        <w:t xml:space="preserve"> o sociální službu sídlící v Hodoníně, která od roku 2024 rozšířila jak věkovou hranici cílové skupiny osob zdravotně postižených (OZP) až na 35 let, tak kapacitu až na 30 míst. Služba doplnila potřebné úvazky vzhledem ke svému rozšíření a přestěhování do nových prostor. Služba je poskytována také občanům Kyjovska. Finanční příspěvek pro organizaci je rozdělen dle počtu klientů mezi ORP Hodonín a Kyjov.</w:t>
      </w:r>
    </w:p>
    <w:p w:rsidR="000028FC" w:rsidRPr="00FA56BB" w:rsidRDefault="000028FC" w:rsidP="000028FC">
      <w:pPr>
        <w:numPr>
          <w:ilvl w:val="0"/>
          <w:numId w:val="3"/>
        </w:numPr>
        <w:suppressAutoHyphens w:val="0"/>
        <w:spacing w:line="360" w:lineRule="auto"/>
        <w:jc w:val="both"/>
      </w:pPr>
      <w:r w:rsidRPr="00FA56BB">
        <w:rPr>
          <w:b/>
        </w:rPr>
        <w:t xml:space="preserve">zvýšení o 0,8 úvazku u služby odlehčovací terénní služby poskytovatele </w:t>
      </w:r>
      <w:proofErr w:type="spellStart"/>
      <w:r w:rsidRPr="00FA56BB">
        <w:rPr>
          <w:b/>
        </w:rPr>
        <w:t>Global</w:t>
      </w:r>
      <w:proofErr w:type="spellEnd"/>
      <w:r w:rsidRPr="00FA56BB">
        <w:rPr>
          <w:b/>
        </w:rPr>
        <w:t xml:space="preserve"> Partner </w:t>
      </w:r>
      <w:proofErr w:type="gramStart"/>
      <w:r w:rsidRPr="00FA56BB">
        <w:rPr>
          <w:b/>
        </w:rPr>
        <w:t xml:space="preserve">Péče, z. </w:t>
      </w:r>
      <w:proofErr w:type="spellStart"/>
      <w:r w:rsidRPr="00FA56BB">
        <w:rPr>
          <w:b/>
        </w:rPr>
        <w:t>ú.</w:t>
      </w:r>
      <w:proofErr w:type="spellEnd"/>
      <w:r w:rsidRPr="00FA56BB">
        <w:rPr>
          <w:b/>
        </w:rPr>
        <w:t xml:space="preserve">, </w:t>
      </w:r>
      <w:r w:rsidRPr="000808E1">
        <w:rPr>
          <w:b/>
        </w:rPr>
        <w:t>(v r.</w:t>
      </w:r>
      <w:proofErr w:type="gramEnd"/>
      <w:r w:rsidRPr="000808E1">
        <w:rPr>
          <w:b/>
        </w:rPr>
        <w:t xml:space="preserve"> 2026 </w:t>
      </w:r>
      <w:r w:rsidRPr="00FA56BB">
        <w:rPr>
          <w:b/>
        </w:rPr>
        <w:t>celkem 5 úvazků PP</w:t>
      </w:r>
      <w:r>
        <w:rPr>
          <w:b/>
        </w:rPr>
        <w:t>)</w:t>
      </w:r>
      <w:r w:rsidRPr="00FA56BB">
        <w:rPr>
          <w:b/>
        </w:rPr>
        <w:t xml:space="preserve"> </w:t>
      </w:r>
      <w:r w:rsidRPr="00FA56BB">
        <w:t xml:space="preserve">– jde o navýšení úvazku s ohledem na nutnost zajištění 24 hodin denně. </w:t>
      </w:r>
    </w:p>
    <w:p w:rsidR="000028FC" w:rsidRPr="00FA56BB" w:rsidRDefault="000028FC" w:rsidP="000028FC">
      <w:pPr>
        <w:numPr>
          <w:ilvl w:val="0"/>
          <w:numId w:val="3"/>
        </w:numPr>
        <w:suppressAutoHyphens w:val="0"/>
        <w:spacing w:line="360" w:lineRule="auto"/>
        <w:jc w:val="both"/>
      </w:pPr>
      <w:r w:rsidRPr="00FA56BB">
        <w:rPr>
          <w:b/>
        </w:rPr>
        <w:t xml:space="preserve">zvýšení o </w:t>
      </w:r>
      <w:r>
        <w:rPr>
          <w:b/>
        </w:rPr>
        <w:t>0,5</w:t>
      </w:r>
      <w:r w:rsidRPr="00FA56BB">
        <w:rPr>
          <w:b/>
        </w:rPr>
        <w:t xml:space="preserve"> úvazek u pečovatelské služby Ždánice poskytovatele Diecézní charita Brno, Oblastní charita Hodonín, </w:t>
      </w:r>
      <w:r w:rsidRPr="000808E1">
        <w:rPr>
          <w:b/>
        </w:rPr>
        <w:t xml:space="preserve">(v r. 2026 </w:t>
      </w:r>
      <w:r w:rsidRPr="00FA56BB">
        <w:rPr>
          <w:b/>
        </w:rPr>
        <w:t>celkem 7,9 úvazků PP</w:t>
      </w:r>
      <w:r>
        <w:rPr>
          <w:b/>
        </w:rPr>
        <w:t>)</w:t>
      </w:r>
      <w:r w:rsidRPr="00FA56BB">
        <w:rPr>
          <w:b/>
        </w:rPr>
        <w:t xml:space="preserve"> - </w:t>
      </w:r>
      <w:r w:rsidRPr="00FA56BB">
        <w:t xml:space="preserve">jde </w:t>
      </w:r>
      <w:r>
        <w:br/>
      </w:r>
      <w:r w:rsidRPr="00FA56BB">
        <w:t xml:space="preserve">o navýšení úvazku s ohledem na zvýšenou poptávku po službě a zvýšení náročnosti péče. S ohledem na naplněnou kapacitu pobytových služeb se rodiny starají doma a potřebují s péčí pomoci. </w:t>
      </w:r>
      <w:r>
        <w:t xml:space="preserve">Dotčené spádové obce se k </w:t>
      </w:r>
      <w:r w:rsidRPr="00FA56BB">
        <w:t xml:space="preserve">rozšíření úvazku </w:t>
      </w:r>
      <w:r>
        <w:t>pečovatelské služby vyjádřily kladně a souhlasí s navýšením nezbytné částky na spolufinancování tohoto zvýšeného úvazku.</w:t>
      </w:r>
    </w:p>
    <w:p w:rsidR="000028FC" w:rsidRDefault="000028FC" w:rsidP="000028FC">
      <w:pPr>
        <w:numPr>
          <w:ilvl w:val="0"/>
          <w:numId w:val="3"/>
        </w:numPr>
        <w:suppressAutoHyphens w:val="0"/>
        <w:spacing w:line="360" w:lineRule="auto"/>
        <w:jc w:val="both"/>
      </w:pPr>
      <w:r w:rsidRPr="00FA56BB">
        <w:rPr>
          <w:b/>
        </w:rPr>
        <w:t xml:space="preserve">zařazení nové sociální služby Sociální rehabilitace poskytovatele Charita Strážnice, celkem 4,0 úvazku </w:t>
      </w:r>
      <w:r w:rsidRPr="00FA56BB">
        <w:t xml:space="preserve">– jde o nahrazení ukončené sociální rehabilitace Sociálně-psychiatrického centra Fénix pro cílovou skupinu osob s duševním onemocněním. Vzhledem k vysokému výskytu duševních poruch a zvyšujícím se výskytu u mládeže se snažíme zajistit adekvátní službu ihned po výpadku SPC Fénix. Charita Strážnice má s poskytováním služby této cílové skupině letité zkušenosti. </w:t>
      </w:r>
    </w:p>
    <w:p w:rsidR="00C83B96" w:rsidRDefault="00BB7FE0" w:rsidP="00BB7FE0">
      <w:pPr>
        <w:spacing w:before="120" w:line="360" w:lineRule="auto"/>
        <w:jc w:val="both"/>
      </w:pPr>
      <w:r>
        <w:t>V rámci rozhodování o financování roku 2</w:t>
      </w:r>
      <w:r w:rsidR="000028FC">
        <w:t>026</w:t>
      </w:r>
      <w:r>
        <w:t xml:space="preserve"> předkládáme ke srovnání financování roku 202</w:t>
      </w:r>
      <w:r w:rsidR="000028FC">
        <w:t>5</w:t>
      </w:r>
      <w:r>
        <w:t xml:space="preserve">, kdy </w:t>
      </w:r>
      <w:r w:rsidR="000028FC">
        <w:t xml:space="preserve">nedocházelo k navyšování částek na sociální služby, pouze k rozvoji úvazků některých sociálních služeb. Pro rok 2026 navrhujeme s ohledem na zvyšování energií a očekávanému nárůstu minimální mzdy 5% navýšení </w:t>
      </w:r>
      <w:r w:rsidR="00C83B96">
        <w:t xml:space="preserve">rozpočtů z roku 2025. </w:t>
      </w:r>
    </w:p>
    <w:p w:rsidR="00BB7FE0" w:rsidRPr="00543C18" w:rsidRDefault="00BB7FE0" w:rsidP="00BB7FE0">
      <w:pPr>
        <w:spacing w:before="120" w:line="360" w:lineRule="auto"/>
        <w:jc w:val="both"/>
        <w:rPr>
          <w:u w:val="single"/>
        </w:rPr>
      </w:pPr>
      <w:r w:rsidRPr="00543C18">
        <w:rPr>
          <w:b/>
          <w:u w:val="single"/>
        </w:rPr>
        <w:t>Financování – rok 202</w:t>
      </w:r>
      <w:r w:rsidR="00C83B96">
        <w:rPr>
          <w:b/>
          <w:u w:val="single"/>
        </w:rPr>
        <w:t>5</w:t>
      </w:r>
      <w:r>
        <w:t xml:space="preserve">  </w:t>
      </w:r>
    </w:p>
    <w:p w:rsidR="00C83B96" w:rsidRDefault="00C83B96" w:rsidP="00C83B96">
      <w:pPr>
        <w:spacing w:before="120" w:line="360" w:lineRule="auto"/>
        <w:jc w:val="both"/>
      </w:pPr>
      <w:r>
        <w:t xml:space="preserve">Minimální síť (včetně CSS, PS Bzenec, Vracov, S-M)      </w:t>
      </w:r>
      <w:r w:rsidRPr="00543C18">
        <w:rPr>
          <w:b/>
        </w:rPr>
        <w:t>1</w:t>
      </w:r>
      <w:r>
        <w:rPr>
          <w:b/>
        </w:rPr>
        <w:t>1</w:t>
      </w:r>
      <w:r w:rsidRPr="00543C18">
        <w:rPr>
          <w:b/>
        </w:rPr>
        <w:t xml:space="preserve"> </w:t>
      </w:r>
      <w:r>
        <w:rPr>
          <w:b/>
        </w:rPr>
        <w:t>671</w:t>
      </w:r>
      <w:r w:rsidRPr="00543C18">
        <w:rPr>
          <w:b/>
        </w:rPr>
        <w:t xml:space="preserve"> </w:t>
      </w:r>
      <w:r>
        <w:rPr>
          <w:b/>
        </w:rPr>
        <w:t>8</w:t>
      </w:r>
      <w:r w:rsidRPr="00543C18">
        <w:rPr>
          <w:b/>
        </w:rPr>
        <w:t>00 Kč</w:t>
      </w:r>
    </w:p>
    <w:p w:rsidR="00C83B96" w:rsidRDefault="00C83B96" w:rsidP="00C83B96">
      <w:pPr>
        <w:spacing w:before="120" w:line="360" w:lineRule="auto"/>
        <w:jc w:val="both"/>
      </w:pPr>
      <w:r>
        <w:t>Dotační program Kyjov</w:t>
      </w:r>
      <w:r>
        <w:tab/>
      </w:r>
      <w:r>
        <w:tab/>
      </w:r>
      <w:r>
        <w:tab/>
      </w:r>
      <w:r>
        <w:tab/>
      </w:r>
      <w:r>
        <w:tab/>
      </w:r>
      <w:r>
        <w:rPr>
          <w:b/>
        </w:rPr>
        <w:t>6 784 7</w:t>
      </w:r>
      <w:r w:rsidRPr="00543C18">
        <w:rPr>
          <w:b/>
        </w:rPr>
        <w:t>00 Kč</w:t>
      </w:r>
    </w:p>
    <w:p w:rsidR="00C83B96" w:rsidRDefault="00C83B96" w:rsidP="00C83B96">
      <w:pPr>
        <w:spacing w:before="120" w:line="360" w:lineRule="auto"/>
        <w:jc w:val="both"/>
      </w:pPr>
      <w:r>
        <w:lastRenderedPageBreak/>
        <w:t>Kyjov</w:t>
      </w:r>
      <w:r>
        <w:tab/>
        <w:t xml:space="preserve">(CSS – 3 146 200 Kč, služby sítě – 2 816 183 Kč) </w:t>
      </w:r>
      <w:r>
        <w:tab/>
      </w:r>
      <w:r>
        <w:rPr>
          <w:b/>
        </w:rPr>
        <w:t>5 962 383</w:t>
      </w:r>
      <w:r w:rsidRPr="00543C18">
        <w:rPr>
          <w:b/>
        </w:rPr>
        <w:t xml:space="preserve"> Kč</w:t>
      </w:r>
    </w:p>
    <w:p w:rsidR="00C83B96" w:rsidRDefault="00C83B96" w:rsidP="00C83B96">
      <w:pPr>
        <w:spacing w:before="120" w:line="360" w:lineRule="auto"/>
        <w:jc w:val="both"/>
        <w:rPr>
          <w:b/>
        </w:rPr>
      </w:pPr>
      <w:r>
        <w:t>Obce (bez PS Bzenec, Vracov, S-M)</w:t>
      </w:r>
      <w:r>
        <w:tab/>
      </w:r>
      <w:r>
        <w:tab/>
      </w:r>
      <w:r>
        <w:tab/>
      </w:r>
      <w:r>
        <w:tab/>
      </w:r>
      <w:r>
        <w:rPr>
          <w:b/>
        </w:rPr>
        <w:t>3 970 700</w:t>
      </w:r>
      <w:r w:rsidRPr="00543C18">
        <w:rPr>
          <w:b/>
        </w:rPr>
        <w:t xml:space="preserve"> Kč</w:t>
      </w:r>
    </w:p>
    <w:p w:rsidR="00BB7FE0" w:rsidRDefault="00BB7FE0" w:rsidP="00BB7FE0">
      <w:pPr>
        <w:spacing w:before="120" w:line="360" w:lineRule="auto"/>
        <w:jc w:val="both"/>
        <w:rPr>
          <w:b/>
          <w:u w:val="single"/>
        </w:rPr>
      </w:pPr>
    </w:p>
    <w:p w:rsidR="00C83B96" w:rsidRPr="00543C18" w:rsidRDefault="00C83B96" w:rsidP="00C83B96">
      <w:pPr>
        <w:suppressAutoHyphens w:val="0"/>
        <w:spacing w:before="120" w:line="360" w:lineRule="auto"/>
        <w:jc w:val="both"/>
        <w:rPr>
          <w:u w:val="single"/>
        </w:rPr>
      </w:pPr>
      <w:r w:rsidRPr="007907FB">
        <w:rPr>
          <w:b/>
          <w:u w:val="single"/>
        </w:rPr>
        <w:t>Financování – navýšení nákladů r. 2025 o 5%</w:t>
      </w:r>
      <w:r w:rsidRPr="007907FB">
        <w:t xml:space="preserve"> -</w:t>
      </w:r>
      <w:r>
        <w:t xml:space="preserve"> </w:t>
      </w:r>
      <w:r w:rsidRPr="007907FB">
        <w:rPr>
          <w:highlight w:val="cyan"/>
        </w:rPr>
        <w:t xml:space="preserve">návrh Soc. a zdrav. </w:t>
      </w:r>
      <w:proofErr w:type="gramStart"/>
      <w:r w:rsidRPr="007907FB">
        <w:rPr>
          <w:highlight w:val="cyan"/>
        </w:rPr>
        <w:t>komise</w:t>
      </w:r>
      <w:proofErr w:type="gramEnd"/>
      <w:r w:rsidRPr="007907FB">
        <w:rPr>
          <w:highlight w:val="cyan"/>
        </w:rPr>
        <w:t xml:space="preserve"> </w:t>
      </w:r>
      <w:r>
        <w:rPr>
          <w:highlight w:val="cyan"/>
        </w:rPr>
        <w:t xml:space="preserve">a </w:t>
      </w:r>
      <w:r w:rsidRPr="007907FB">
        <w:rPr>
          <w:highlight w:val="cyan"/>
        </w:rPr>
        <w:t>RM Kyjova</w:t>
      </w:r>
      <w:r w:rsidRPr="007907FB">
        <w:t xml:space="preserve"> – </w:t>
      </w:r>
    </w:p>
    <w:p w:rsidR="00C83B96" w:rsidRDefault="00C83B96" w:rsidP="00C83B96">
      <w:pPr>
        <w:spacing w:before="120" w:line="276" w:lineRule="auto"/>
        <w:jc w:val="both"/>
      </w:pPr>
      <w:r>
        <w:t xml:space="preserve">Minimální síť (včetně CSS, PS Bzenec, Vracov, S-M)      </w:t>
      </w:r>
      <w:r w:rsidRPr="00543C18">
        <w:rPr>
          <w:b/>
        </w:rPr>
        <w:t>1</w:t>
      </w:r>
      <w:r>
        <w:rPr>
          <w:b/>
        </w:rPr>
        <w:t>2</w:t>
      </w:r>
      <w:r w:rsidRPr="00543C18">
        <w:rPr>
          <w:b/>
        </w:rPr>
        <w:t xml:space="preserve"> </w:t>
      </w:r>
      <w:r>
        <w:rPr>
          <w:b/>
        </w:rPr>
        <w:t>459</w:t>
      </w:r>
      <w:r w:rsidRPr="00543C18">
        <w:rPr>
          <w:b/>
        </w:rPr>
        <w:t xml:space="preserve"> </w:t>
      </w:r>
      <w:r>
        <w:rPr>
          <w:b/>
        </w:rPr>
        <w:t>9</w:t>
      </w:r>
      <w:r w:rsidRPr="00543C18">
        <w:rPr>
          <w:b/>
        </w:rPr>
        <w:t>00 Kč</w:t>
      </w:r>
    </w:p>
    <w:p w:rsidR="00C83B96" w:rsidRDefault="00C83B96" w:rsidP="00C83B96">
      <w:pPr>
        <w:spacing w:before="120" w:line="276" w:lineRule="auto"/>
        <w:jc w:val="both"/>
      </w:pPr>
      <w:r>
        <w:t>Dotační program Kyjov</w:t>
      </w:r>
      <w:r>
        <w:tab/>
      </w:r>
      <w:r>
        <w:tab/>
      </w:r>
      <w:r>
        <w:tab/>
      </w:r>
      <w:r>
        <w:tab/>
      </w:r>
      <w:r>
        <w:tab/>
      </w:r>
      <w:r>
        <w:rPr>
          <w:b/>
        </w:rPr>
        <w:t>7 252 3</w:t>
      </w:r>
      <w:r w:rsidRPr="00543C18">
        <w:rPr>
          <w:b/>
        </w:rPr>
        <w:t>00 Kč</w:t>
      </w:r>
    </w:p>
    <w:p w:rsidR="00C83B96" w:rsidRDefault="00C83B96" w:rsidP="00C83B96">
      <w:pPr>
        <w:spacing w:before="120" w:line="276" w:lineRule="auto"/>
        <w:jc w:val="both"/>
      </w:pPr>
      <w:r>
        <w:t>Kyjov</w:t>
      </w:r>
      <w:r>
        <w:tab/>
        <w:t xml:space="preserve">(CSS – 3 254 100 Kč, služby sítě – 3 042 672 Kč) </w:t>
      </w:r>
      <w:r>
        <w:tab/>
      </w:r>
      <w:r>
        <w:rPr>
          <w:b/>
        </w:rPr>
        <w:t>6 296 772</w:t>
      </w:r>
      <w:r w:rsidRPr="00543C18">
        <w:rPr>
          <w:b/>
        </w:rPr>
        <w:t xml:space="preserve"> Kč</w:t>
      </w:r>
    </w:p>
    <w:p w:rsidR="00C83B96" w:rsidRDefault="00C83B96" w:rsidP="00C83B96">
      <w:pPr>
        <w:spacing w:before="120" w:line="276" w:lineRule="auto"/>
        <w:jc w:val="both"/>
        <w:rPr>
          <w:b/>
        </w:rPr>
      </w:pPr>
      <w:r>
        <w:t>Obce (bez PS Bzenec, Vracov, S-M)</w:t>
      </w:r>
      <w:r>
        <w:tab/>
      </w:r>
      <w:r>
        <w:tab/>
      </w:r>
      <w:r>
        <w:tab/>
      </w:r>
      <w:r>
        <w:tab/>
      </w:r>
      <w:r w:rsidRPr="006E024B">
        <w:rPr>
          <w:b/>
        </w:rPr>
        <w:t>4</w:t>
      </w:r>
      <w:r>
        <w:rPr>
          <w:b/>
        </w:rPr>
        <w:t> 210 900</w:t>
      </w:r>
      <w:r w:rsidRPr="00543C18">
        <w:rPr>
          <w:b/>
        </w:rPr>
        <w:t xml:space="preserve"> Kč</w:t>
      </w:r>
    </w:p>
    <w:p w:rsidR="00C83B96" w:rsidRDefault="00C83B96" w:rsidP="00C83B96">
      <w:pPr>
        <w:spacing w:before="120" w:line="360" w:lineRule="auto"/>
        <w:jc w:val="both"/>
        <w:rPr>
          <w:i/>
        </w:rPr>
      </w:pPr>
      <w:r w:rsidRPr="001572EE">
        <w:rPr>
          <w:i/>
        </w:rPr>
        <w:t>Tato varianta vychází z částek roku 202</w:t>
      </w:r>
      <w:r>
        <w:rPr>
          <w:i/>
        </w:rPr>
        <w:t>5 (nikoli dle pravidel JMK) navýšených o 5%,</w:t>
      </w:r>
      <w:r w:rsidRPr="001572EE">
        <w:rPr>
          <w:i/>
        </w:rPr>
        <w:t xml:space="preserve"> zahrnuje také schvá</w:t>
      </w:r>
      <w:r>
        <w:rPr>
          <w:i/>
        </w:rPr>
        <w:t>lený rozvoj sociálních služeb (0</w:t>
      </w:r>
      <w:r w:rsidRPr="001572EE">
        <w:rPr>
          <w:i/>
        </w:rPr>
        <w:t>,</w:t>
      </w:r>
      <w:r>
        <w:rPr>
          <w:i/>
        </w:rPr>
        <w:t>8</w:t>
      </w:r>
      <w:r w:rsidRPr="001572EE">
        <w:rPr>
          <w:i/>
        </w:rPr>
        <w:t xml:space="preserve"> úvazku </w:t>
      </w:r>
      <w:r>
        <w:rPr>
          <w:i/>
        </w:rPr>
        <w:t xml:space="preserve">OS </w:t>
      </w:r>
      <w:proofErr w:type="spellStart"/>
      <w:r>
        <w:rPr>
          <w:i/>
        </w:rPr>
        <w:t>Global</w:t>
      </w:r>
      <w:proofErr w:type="spellEnd"/>
      <w:r>
        <w:rPr>
          <w:i/>
        </w:rPr>
        <w:t xml:space="preserve"> Partner Péče, 0,5 úvazku PS Ždánice, 1,25 úvazku pro DS Vlaštovka a 4</w:t>
      </w:r>
      <w:r w:rsidRPr="001572EE">
        <w:rPr>
          <w:i/>
        </w:rPr>
        <w:t xml:space="preserve"> úvazk</w:t>
      </w:r>
      <w:r>
        <w:rPr>
          <w:i/>
        </w:rPr>
        <w:t>y</w:t>
      </w:r>
      <w:r w:rsidRPr="001572EE">
        <w:rPr>
          <w:i/>
        </w:rPr>
        <w:t xml:space="preserve"> </w:t>
      </w:r>
      <w:r>
        <w:rPr>
          <w:i/>
        </w:rPr>
        <w:t>SR Teres Charity Strážnice)</w:t>
      </w:r>
      <w:r w:rsidRPr="001572EE">
        <w:rPr>
          <w:i/>
        </w:rPr>
        <w:t xml:space="preserve">. </w:t>
      </w:r>
    </w:p>
    <w:p w:rsidR="00BB7FE0" w:rsidRDefault="00BB7FE0" w:rsidP="00BB7FE0">
      <w:pPr>
        <w:spacing w:before="120" w:line="360" w:lineRule="auto"/>
        <w:jc w:val="both"/>
      </w:pPr>
    </w:p>
    <w:p w:rsidR="00C83B96" w:rsidRDefault="00C83B96" w:rsidP="00C83B96">
      <w:pPr>
        <w:spacing w:before="120" w:line="360" w:lineRule="auto"/>
        <w:jc w:val="both"/>
      </w:pPr>
      <w:r>
        <w:t xml:space="preserve">V roce 2026 dojde v rámci financování, jako tomu bylo v předchozích letech, ke garantování částky za Minimální síť sociálních služeb, což znamená, že Kyjov </w:t>
      </w:r>
      <w:proofErr w:type="spellStart"/>
      <w:r>
        <w:t>zagarantuje</w:t>
      </w:r>
      <w:proofErr w:type="spellEnd"/>
      <w:r>
        <w:t xml:space="preserve"> celou Minimální síť sociálních služeb pro rok 2026 (včetně všech pečovatelských služeb). </w:t>
      </w:r>
    </w:p>
    <w:p w:rsidR="00C83B96" w:rsidRDefault="00C83B96" w:rsidP="00C83B96">
      <w:pPr>
        <w:spacing w:line="360" w:lineRule="auto"/>
        <w:jc w:val="both"/>
      </w:pPr>
      <w:r>
        <w:t xml:space="preserve">V případě schválení </w:t>
      </w:r>
      <w:r w:rsidR="00FC6A6A">
        <w:t xml:space="preserve">materiálu zastupitelstvem města, </w:t>
      </w:r>
      <w:r>
        <w:t xml:space="preserve">bude tato varianta předložena ke schválení obcím ORP Kyjov, a to na nejbližší poradě starostů spádových obcí. </w:t>
      </w:r>
    </w:p>
    <w:p w:rsidR="00C83B96" w:rsidRDefault="00C83B96" w:rsidP="00C83B96">
      <w:pPr>
        <w:spacing w:line="360" w:lineRule="auto"/>
        <w:jc w:val="both"/>
      </w:pPr>
      <w:r>
        <w:t xml:space="preserve">Obce v případě odsouhlasení </w:t>
      </w:r>
      <w:r w:rsidR="00FC6A6A">
        <w:t>da</w:t>
      </w:r>
      <w:r>
        <w:t xml:space="preserve">né varianty, následně zafinancují svůj podíl městu Kyjovu částkou ve výši </w:t>
      </w:r>
      <w:r w:rsidRPr="00931198">
        <w:rPr>
          <w:b/>
        </w:rPr>
        <w:t>4 210 900 Kč</w:t>
      </w:r>
      <w:r>
        <w:t xml:space="preserve">. Podílí se na financování služeb v rámci společného sociálního fondu a pečovatelských služeb. Výjimku tvoří OA a PS Centra sociálních služeb Kyjov, </w:t>
      </w:r>
      <w:proofErr w:type="spellStart"/>
      <w:proofErr w:type="gramStart"/>
      <w:r>
        <w:t>p.o</w:t>
      </w:r>
      <w:proofErr w:type="spellEnd"/>
      <w:r>
        <w:t>.</w:t>
      </w:r>
      <w:proofErr w:type="gramEnd"/>
      <w:r>
        <w:t xml:space="preserve"> města Kyjova, kde podíl spolufinancování hradí pouze město Kyjov. </w:t>
      </w:r>
    </w:p>
    <w:p w:rsidR="00BB7FE0" w:rsidRPr="00761CFD" w:rsidRDefault="00BB7FE0" w:rsidP="00BB7FE0">
      <w:pPr>
        <w:spacing w:line="360" w:lineRule="auto"/>
        <w:jc w:val="both"/>
        <w:rPr>
          <w:b/>
        </w:rPr>
      </w:pPr>
      <w:r>
        <w:rPr>
          <w:b/>
        </w:rPr>
        <w:t>Dotační program na financování Minimální sítě sociálních služeb v ORP Kyjov na rok 202</w:t>
      </w:r>
      <w:r w:rsidR="00FC6A6A">
        <w:rPr>
          <w:b/>
        </w:rPr>
        <w:t>6</w:t>
      </w:r>
      <w:r>
        <w:rPr>
          <w:b/>
        </w:rPr>
        <w:t xml:space="preserve"> činí</w:t>
      </w:r>
      <w:r w:rsidRPr="00F93113">
        <w:rPr>
          <w:b/>
        </w:rPr>
        <w:t xml:space="preserve"> </w:t>
      </w:r>
      <w:r w:rsidR="00FC6A6A">
        <w:rPr>
          <w:b/>
        </w:rPr>
        <w:t>7.252</w:t>
      </w:r>
      <w:r>
        <w:rPr>
          <w:b/>
        </w:rPr>
        <w:t>.</w:t>
      </w:r>
      <w:r w:rsidR="00FC6A6A">
        <w:rPr>
          <w:b/>
        </w:rPr>
        <w:t>3</w:t>
      </w:r>
      <w:r>
        <w:rPr>
          <w:b/>
        </w:rPr>
        <w:t>00</w:t>
      </w:r>
      <w:r w:rsidRPr="00F93113">
        <w:rPr>
          <w:b/>
        </w:rPr>
        <w:t xml:space="preserve"> Kč</w:t>
      </w:r>
      <w:r>
        <w:rPr>
          <w:b/>
        </w:rPr>
        <w:t>.</w:t>
      </w:r>
    </w:p>
    <w:p w:rsidR="000A642B" w:rsidRPr="009B3C29" w:rsidRDefault="000A642B" w:rsidP="00DA3458">
      <w:pPr>
        <w:spacing w:line="360" w:lineRule="auto"/>
        <w:jc w:val="both"/>
      </w:pPr>
    </w:p>
    <w:p w:rsidR="00FC6AFD" w:rsidRDefault="00FC6AFD" w:rsidP="00FC6AFD">
      <w:pPr>
        <w:spacing w:line="360" w:lineRule="auto"/>
        <w:rPr>
          <w:b/>
          <w:u w:val="single"/>
        </w:rPr>
      </w:pPr>
      <w:r>
        <w:rPr>
          <w:b/>
          <w:u w:val="single"/>
        </w:rPr>
        <w:t>Odkaz na usnesení (úkol) orgánů města:</w:t>
      </w:r>
    </w:p>
    <w:p w:rsidR="00D66B48" w:rsidRDefault="00BA06BF" w:rsidP="00BA06BF">
      <w:pPr>
        <w:spacing w:line="360" w:lineRule="auto"/>
        <w:rPr>
          <w:lang w:eastAsia="cs-CZ"/>
        </w:rPr>
      </w:pPr>
      <w:r>
        <w:t>Rada města Kyjova doporučila Zastupitelstvu města Kyjova schválit „Minimální síť sociálních služeb v ORP Kyjov pro rok 20</w:t>
      </w:r>
      <w:r w:rsidR="00921E6D">
        <w:t>2</w:t>
      </w:r>
      <w:r w:rsidR="00FC6A6A">
        <w:t>6</w:t>
      </w:r>
      <w:r>
        <w:t xml:space="preserve">“ a způsob jejího financování dne </w:t>
      </w:r>
      <w:r w:rsidR="00DB4116">
        <w:t>25. 08. 2025</w:t>
      </w:r>
      <w:r>
        <w:t xml:space="preserve"> </w:t>
      </w:r>
      <w:r w:rsidR="00096FDB">
        <w:t>U</w:t>
      </w:r>
      <w:r w:rsidRPr="00096FDB">
        <w:t>snesení</w:t>
      </w:r>
      <w:r w:rsidR="00BB5A40" w:rsidRPr="00096FDB">
        <w:t>m</w:t>
      </w:r>
      <w:r w:rsidRPr="00096FDB">
        <w:t xml:space="preserve"> č.</w:t>
      </w:r>
      <w:r w:rsidR="006A4791" w:rsidRPr="00096FDB">
        <w:t xml:space="preserve"> </w:t>
      </w:r>
      <w:r w:rsidR="00D332C1" w:rsidRPr="00D332C1">
        <w:t>78/2.4</w:t>
      </w:r>
      <w:r w:rsidR="00BB5A40" w:rsidRPr="00D332C1">
        <w:t>.</w:t>
      </w:r>
    </w:p>
    <w:p w:rsidR="00D66B48" w:rsidRDefault="00D66B48" w:rsidP="00D66B48">
      <w:pPr>
        <w:spacing w:line="360" w:lineRule="auto"/>
        <w:jc w:val="both"/>
        <w:rPr>
          <w:lang w:eastAsia="cs-CZ"/>
        </w:rPr>
      </w:pPr>
    </w:p>
    <w:p w:rsidR="00FC6AFD" w:rsidRDefault="00FC6AFD" w:rsidP="00FC6AFD">
      <w:pPr>
        <w:spacing w:line="360" w:lineRule="auto"/>
        <w:rPr>
          <w:b/>
        </w:rPr>
      </w:pPr>
      <w:r>
        <w:rPr>
          <w:b/>
          <w:u w:val="single"/>
        </w:rPr>
        <w:t>Dopad na rozpočet města:</w:t>
      </w:r>
      <w:r>
        <w:rPr>
          <w:b/>
        </w:rPr>
        <w:t xml:space="preserve"> </w:t>
      </w:r>
    </w:p>
    <w:p w:rsidR="00FC6AFD" w:rsidRDefault="00CD3D29" w:rsidP="00F768EF">
      <w:pPr>
        <w:spacing w:line="360" w:lineRule="auto"/>
        <w:jc w:val="both"/>
      </w:pPr>
      <w:r>
        <w:t>P</w:t>
      </w:r>
      <w:r w:rsidR="00FC6AFD">
        <w:t xml:space="preserve">ro rok </w:t>
      </w:r>
      <w:r w:rsidR="008354B9">
        <w:t>20</w:t>
      </w:r>
      <w:r w:rsidR="00921E6D">
        <w:t>2</w:t>
      </w:r>
      <w:r w:rsidR="001B6482">
        <w:t>6</w:t>
      </w:r>
      <w:r w:rsidR="00FC6AFD" w:rsidRPr="00F47C70">
        <w:t xml:space="preserve"> </w:t>
      </w:r>
      <w:r w:rsidR="001B6482">
        <w:rPr>
          <w:b/>
        </w:rPr>
        <w:t>7 252 3</w:t>
      </w:r>
      <w:r w:rsidR="001B6482" w:rsidRPr="00543C18">
        <w:rPr>
          <w:b/>
        </w:rPr>
        <w:t>00 Kč</w:t>
      </w:r>
    </w:p>
    <w:p w:rsidR="00D66B48" w:rsidRDefault="00D66B48" w:rsidP="00FC6AFD">
      <w:pPr>
        <w:spacing w:line="360" w:lineRule="auto"/>
        <w:jc w:val="both"/>
      </w:pPr>
    </w:p>
    <w:p w:rsidR="00FC6AFD" w:rsidRPr="00A75303" w:rsidRDefault="00FC6AFD" w:rsidP="00FC6AFD">
      <w:pPr>
        <w:spacing w:line="360" w:lineRule="auto"/>
        <w:jc w:val="both"/>
      </w:pPr>
      <w:r>
        <w:rPr>
          <w:b/>
          <w:u w:val="single"/>
        </w:rPr>
        <w:t>Přílohy</w:t>
      </w:r>
      <w:r w:rsidRPr="00A75303">
        <w:rPr>
          <w:b/>
        </w:rPr>
        <w:t>:</w:t>
      </w:r>
      <w:r w:rsidRPr="00A75303">
        <w:t xml:space="preserve"> </w:t>
      </w:r>
      <w:r w:rsidRPr="00A75303">
        <w:tab/>
      </w:r>
    </w:p>
    <w:p w:rsidR="00F768EF" w:rsidRDefault="00F768EF" w:rsidP="00F768EF">
      <w:pPr>
        <w:spacing w:line="360" w:lineRule="auto"/>
        <w:jc w:val="both"/>
      </w:pPr>
      <w:r>
        <w:t xml:space="preserve">Příloha č. 1 – Finanční náklady Minimální sítě sociálních </w:t>
      </w:r>
      <w:r w:rsidR="001B6482">
        <w:t>služeb pro rok 2025</w:t>
      </w:r>
    </w:p>
    <w:p w:rsidR="00F768EF" w:rsidRDefault="00F768EF" w:rsidP="00F768EF">
      <w:pPr>
        <w:spacing w:line="360" w:lineRule="auto"/>
        <w:jc w:val="both"/>
      </w:pPr>
      <w:r>
        <w:lastRenderedPageBreak/>
        <w:t xml:space="preserve">Příloha č. 2 - </w:t>
      </w:r>
      <w:r w:rsidRPr="00E7112D">
        <w:t>Finanční náklady Minimální sítě soc</w:t>
      </w:r>
      <w:r>
        <w:t xml:space="preserve">iálních </w:t>
      </w:r>
      <w:r w:rsidRPr="00E7112D">
        <w:t>sl</w:t>
      </w:r>
      <w:r>
        <w:t xml:space="preserve">užeb </w:t>
      </w:r>
      <w:r w:rsidRPr="00E7112D">
        <w:t>pro rok 20</w:t>
      </w:r>
      <w:r>
        <w:t>2</w:t>
      </w:r>
      <w:r w:rsidR="001B6482">
        <w:t>6</w:t>
      </w:r>
      <w:r>
        <w:t xml:space="preserve"> – doporučení Rady města Kyjova</w:t>
      </w:r>
    </w:p>
    <w:p w:rsidR="003868ED" w:rsidRDefault="003868ED">
      <w:bookmarkStart w:id="0" w:name="_GoBack"/>
      <w:bookmarkEnd w:id="0"/>
    </w:p>
    <w:sectPr w:rsidR="003868ED" w:rsidSect="00324083">
      <w:footerReference w:type="default" r:id="rId8"/>
      <w:footnotePr>
        <w:pos w:val="beneathText"/>
      </w:footnotePr>
      <w:pgSz w:w="11905" w:h="16837"/>
      <w:pgMar w:top="902" w:right="1418" w:bottom="1079" w:left="1418" w:header="708"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7A9" w:rsidRDefault="00E257A9">
      <w:r>
        <w:separator/>
      </w:r>
    </w:p>
  </w:endnote>
  <w:endnote w:type="continuationSeparator" w:id="0">
    <w:p w:rsidR="00E257A9" w:rsidRDefault="00E25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9E" w:rsidRDefault="00992572">
    <w:pPr>
      <w:pStyle w:val="Zpat"/>
      <w:jc w:val="center"/>
    </w:pPr>
    <w:r>
      <w:rPr>
        <w:rStyle w:val="slostrnky"/>
      </w:rPr>
      <w:fldChar w:fldCharType="begin"/>
    </w:r>
    <w:r w:rsidR="008354B9">
      <w:rPr>
        <w:rStyle w:val="slostrnky"/>
      </w:rPr>
      <w:instrText xml:space="preserve"> PAGE </w:instrText>
    </w:r>
    <w:r>
      <w:rPr>
        <w:rStyle w:val="slostrnky"/>
      </w:rPr>
      <w:fldChar w:fldCharType="separate"/>
    </w:r>
    <w:r w:rsidR="00DB4116">
      <w:rPr>
        <w:rStyle w:val="slostrnky"/>
        <w:noProof/>
      </w:rPr>
      <w:t>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7A9" w:rsidRDefault="00E257A9">
      <w:r>
        <w:separator/>
      </w:r>
    </w:p>
  </w:footnote>
  <w:footnote w:type="continuationSeparator" w:id="0">
    <w:p w:rsidR="00E257A9" w:rsidRDefault="00E25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913DF"/>
    <w:multiLevelType w:val="hybridMultilevel"/>
    <w:tmpl w:val="BA4C9A7A"/>
    <w:lvl w:ilvl="0" w:tplc="C0DEBD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D74325"/>
    <w:multiLevelType w:val="hybridMultilevel"/>
    <w:tmpl w:val="33BACE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1F90067"/>
    <w:multiLevelType w:val="hybridMultilevel"/>
    <w:tmpl w:val="0E703354"/>
    <w:lvl w:ilvl="0" w:tplc="8DEAB5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BF84C5F"/>
    <w:multiLevelType w:val="hybridMultilevel"/>
    <w:tmpl w:val="17325A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900225BC">
      <w:numFmt w:val="bullet"/>
      <w:lvlText w:val="-"/>
      <w:lvlJc w:val="left"/>
      <w:pPr>
        <w:ind w:left="2160" w:hanging="360"/>
      </w:pPr>
      <w:rPr>
        <w:rFonts w:ascii="Times New Roman" w:eastAsia="Times New Roman"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AFD"/>
    <w:rsid w:val="000028FC"/>
    <w:rsid w:val="000421E8"/>
    <w:rsid w:val="0005096D"/>
    <w:rsid w:val="0007614A"/>
    <w:rsid w:val="000819A3"/>
    <w:rsid w:val="00095047"/>
    <w:rsid w:val="00096BD0"/>
    <w:rsid w:val="00096FDB"/>
    <w:rsid w:val="000A642B"/>
    <w:rsid w:val="000F034D"/>
    <w:rsid w:val="000F41F6"/>
    <w:rsid w:val="001451AE"/>
    <w:rsid w:val="001758A8"/>
    <w:rsid w:val="001B2EA7"/>
    <w:rsid w:val="001B6482"/>
    <w:rsid w:val="001D1EB6"/>
    <w:rsid w:val="001D4D0E"/>
    <w:rsid w:val="001F6A98"/>
    <w:rsid w:val="0020434B"/>
    <w:rsid w:val="002144A8"/>
    <w:rsid w:val="002A3EBD"/>
    <w:rsid w:val="00324083"/>
    <w:rsid w:val="0033643D"/>
    <w:rsid w:val="00351645"/>
    <w:rsid w:val="003831E4"/>
    <w:rsid w:val="003868ED"/>
    <w:rsid w:val="00391FF8"/>
    <w:rsid w:val="003A6E75"/>
    <w:rsid w:val="003B1896"/>
    <w:rsid w:val="003D12DC"/>
    <w:rsid w:val="003D566B"/>
    <w:rsid w:val="00401EA0"/>
    <w:rsid w:val="00416CFC"/>
    <w:rsid w:val="00452527"/>
    <w:rsid w:val="004634F0"/>
    <w:rsid w:val="004B136A"/>
    <w:rsid w:val="004E2043"/>
    <w:rsid w:val="00520204"/>
    <w:rsid w:val="00521D20"/>
    <w:rsid w:val="005276EA"/>
    <w:rsid w:val="005666EB"/>
    <w:rsid w:val="005B081A"/>
    <w:rsid w:val="005B08A4"/>
    <w:rsid w:val="005B424A"/>
    <w:rsid w:val="005B51C7"/>
    <w:rsid w:val="005C2847"/>
    <w:rsid w:val="005D4204"/>
    <w:rsid w:val="005D6F67"/>
    <w:rsid w:val="0060274F"/>
    <w:rsid w:val="0061594D"/>
    <w:rsid w:val="00662C40"/>
    <w:rsid w:val="006A4791"/>
    <w:rsid w:val="007003ED"/>
    <w:rsid w:val="0070175E"/>
    <w:rsid w:val="007215F0"/>
    <w:rsid w:val="00736D44"/>
    <w:rsid w:val="00761CFD"/>
    <w:rsid w:val="007C3F68"/>
    <w:rsid w:val="007D107C"/>
    <w:rsid w:val="007D2591"/>
    <w:rsid w:val="00832AA2"/>
    <w:rsid w:val="008354B9"/>
    <w:rsid w:val="008441B2"/>
    <w:rsid w:val="00844EE8"/>
    <w:rsid w:val="008C2F56"/>
    <w:rsid w:val="008D0606"/>
    <w:rsid w:val="008E3DAA"/>
    <w:rsid w:val="00913C29"/>
    <w:rsid w:val="00917F77"/>
    <w:rsid w:val="00921E6D"/>
    <w:rsid w:val="00950C7C"/>
    <w:rsid w:val="00992572"/>
    <w:rsid w:val="009A0717"/>
    <w:rsid w:val="009E2096"/>
    <w:rsid w:val="009E4267"/>
    <w:rsid w:val="00A2272E"/>
    <w:rsid w:val="00A43CA7"/>
    <w:rsid w:val="00AA2D84"/>
    <w:rsid w:val="00B40590"/>
    <w:rsid w:val="00B90C0B"/>
    <w:rsid w:val="00BA06BF"/>
    <w:rsid w:val="00BB5A40"/>
    <w:rsid w:val="00BB7FE0"/>
    <w:rsid w:val="00BC3451"/>
    <w:rsid w:val="00C056E0"/>
    <w:rsid w:val="00C22B15"/>
    <w:rsid w:val="00C83B96"/>
    <w:rsid w:val="00C94447"/>
    <w:rsid w:val="00CD181C"/>
    <w:rsid w:val="00CD18C6"/>
    <w:rsid w:val="00CD3D29"/>
    <w:rsid w:val="00CD7643"/>
    <w:rsid w:val="00D20929"/>
    <w:rsid w:val="00D21E6B"/>
    <w:rsid w:val="00D332C1"/>
    <w:rsid w:val="00D56E53"/>
    <w:rsid w:val="00D66B48"/>
    <w:rsid w:val="00DA3458"/>
    <w:rsid w:val="00DB4116"/>
    <w:rsid w:val="00E005A6"/>
    <w:rsid w:val="00E02690"/>
    <w:rsid w:val="00E171BC"/>
    <w:rsid w:val="00E24E16"/>
    <w:rsid w:val="00E257A9"/>
    <w:rsid w:val="00E34F9B"/>
    <w:rsid w:val="00E60C18"/>
    <w:rsid w:val="00E7112D"/>
    <w:rsid w:val="00EB5165"/>
    <w:rsid w:val="00EC23B7"/>
    <w:rsid w:val="00F00704"/>
    <w:rsid w:val="00F108E2"/>
    <w:rsid w:val="00F45391"/>
    <w:rsid w:val="00F71B2A"/>
    <w:rsid w:val="00F768EF"/>
    <w:rsid w:val="00F82780"/>
    <w:rsid w:val="00FA7191"/>
    <w:rsid w:val="00FC6A6A"/>
    <w:rsid w:val="00FC6AFD"/>
    <w:rsid w:val="00FD61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3E589D-16C8-48D8-86F2-0B7E0B932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6AFD"/>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FC6AFD"/>
  </w:style>
  <w:style w:type="paragraph" w:styleId="Zpat">
    <w:name w:val="footer"/>
    <w:basedOn w:val="Normln"/>
    <w:link w:val="ZpatChar"/>
    <w:rsid w:val="00FC6AFD"/>
    <w:pPr>
      <w:tabs>
        <w:tab w:val="center" w:pos="4536"/>
        <w:tab w:val="right" w:pos="9072"/>
      </w:tabs>
    </w:pPr>
  </w:style>
  <w:style w:type="character" w:customStyle="1" w:styleId="ZpatChar">
    <w:name w:val="Zápatí Char"/>
    <w:basedOn w:val="Standardnpsmoodstavce"/>
    <w:link w:val="Zpat"/>
    <w:rsid w:val="00FC6AFD"/>
    <w:rPr>
      <w:rFonts w:ascii="Times New Roman" w:eastAsia="Times New Roman" w:hAnsi="Times New Roman" w:cs="Times New Roman"/>
      <w:sz w:val="24"/>
      <w:szCs w:val="24"/>
      <w:lang w:eastAsia="ar-SA"/>
    </w:rPr>
  </w:style>
  <w:style w:type="paragraph" w:customStyle="1" w:styleId="Zkladntext22">
    <w:name w:val="Základní text 22"/>
    <w:basedOn w:val="Normln"/>
    <w:uiPriority w:val="99"/>
    <w:rsid w:val="00FC6AFD"/>
    <w:pPr>
      <w:suppressAutoHyphens w:val="0"/>
      <w:jc w:val="both"/>
    </w:pPr>
    <w:rPr>
      <w:rFonts w:eastAsia="Calibri"/>
      <w:lang w:eastAsia="zh-CN"/>
    </w:rPr>
  </w:style>
  <w:style w:type="character" w:styleId="Odkaznakoment">
    <w:name w:val="annotation reference"/>
    <w:basedOn w:val="Standardnpsmoodstavce"/>
    <w:uiPriority w:val="99"/>
    <w:semiHidden/>
    <w:unhideWhenUsed/>
    <w:rsid w:val="00736D44"/>
    <w:rPr>
      <w:sz w:val="16"/>
      <w:szCs w:val="16"/>
    </w:rPr>
  </w:style>
  <w:style w:type="paragraph" w:styleId="Textkomente">
    <w:name w:val="annotation text"/>
    <w:basedOn w:val="Normln"/>
    <w:link w:val="TextkomenteChar"/>
    <w:uiPriority w:val="99"/>
    <w:semiHidden/>
    <w:unhideWhenUsed/>
    <w:rsid w:val="00736D44"/>
    <w:rPr>
      <w:sz w:val="20"/>
      <w:szCs w:val="20"/>
    </w:rPr>
  </w:style>
  <w:style w:type="character" w:customStyle="1" w:styleId="TextkomenteChar">
    <w:name w:val="Text komentáře Char"/>
    <w:basedOn w:val="Standardnpsmoodstavce"/>
    <w:link w:val="Textkomente"/>
    <w:uiPriority w:val="99"/>
    <w:semiHidden/>
    <w:rsid w:val="00736D4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736D44"/>
    <w:rPr>
      <w:b/>
      <w:bCs/>
    </w:rPr>
  </w:style>
  <w:style w:type="character" w:customStyle="1" w:styleId="PedmtkomenteChar">
    <w:name w:val="Předmět komentáře Char"/>
    <w:basedOn w:val="TextkomenteChar"/>
    <w:link w:val="Pedmtkomente"/>
    <w:uiPriority w:val="99"/>
    <w:semiHidden/>
    <w:rsid w:val="00736D44"/>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736D44"/>
    <w:rPr>
      <w:rFonts w:ascii="Tahoma" w:hAnsi="Tahoma" w:cs="Tahoma"/>
      <w:sz w:val="16"/>
      <w:szCs w:val="16"/>
    </w:rPr>
  </w:style>
  <w:style w:type="character" w:customStyle="1" w:styleId="TextbublinyChar">
    <w:name w:val="Text bubliny Char"/>
    <w:basedOn w:val="Standardnpsmoodstavce"/>
    <w:link w:val="Textbubliny"/>
    <w:uiPriority w:val="99"/>
    <w:semiHidden/>
    <w:rsid w:val="00736D44"/>
    <w:rPr>
      <w:rFonts w:ascii="Tahoma" w:eastAsia="Times New Roman" w:hAnsi="Tahoma" w:cs="Tahoma"/>
      <w:sz w:val="16"/>
      <w:szCs w:val="16"/>
      <w:lang w:eastAsia="ar-SA"/>
    </w:rPr>
  </w:style>
  <w:style w:type="paragraph" w:customStyle="1" w:styleId="Default">
    <w:name w:val="Default"/>
    <w:rsid w:val="00BB7FE0"/>
    <w:pPr>
      <w:autoSpaceDE w:val="0"/>
      <w:autoSpaceDN w:val="0"/>
      <w:adjustRightInd w:val="0"/>
      <w:spacing w:after="0" w:line="240" w:lineRule="auto"/>
    </w:pPr>
    <w:rPr>
      <w:rFonts w:ascii="Calibri" w:eastAsia="Times New Roman" w:hAnsi="Calibri" w:cs="Calibri"/>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5053">
      <w:bodyDiv w:val="1"/>
      <w:marLeft w:val="0"/>
      <w:marRight w:val="0"/>
      <w:marTop w:val="0"/>
      <w:marBottom w:val="0"/>
      <w:divBdr>
        <w:top w:val="none" w:sz="0" w:space="0" w:color="auto"/>
        <w:left w:val="none" w:sz="0" w:space="0" w:color="auto"/>
        <w:bottom w:val="none" w:sz="0" w:space="0" w:color="auto"/>
        <w:right w:val="none" w:sz="0" w:space="0" w:color="auto"/>
      </w:divBdr>
    </w:div>
    <w:div w:id="637298796">
      <w:bodyDiv w:val="1"/>
      <w:marLeft w:val="0"/>
      <w:marRight w:val="0"/>
      <w:marTop w:val="0"/>
      <w:marBottom w:val="0"/>
      <w:divBdr>
        <w:top w:val="none" w:sz="0" w:space="0" w:color="auto"/>
        <w:left w:val="none" w:sz="0" w:space="0" w:color="auto"/>
        <w:bottom w:val="none" w:sz="0" w:space="0" w:color="auto"/>
        <w:right w:val="none" w:sz="0" w:space="0" w:color="auto"/>
      </w:divBdr>
    </w:div>
    <w:div w:id="770664734">
      <w:bodyDiv w:val="1"/>
      <w:marLeft w:val="0"/>
      <w:marRight w:val="0"/>
      <w:marTop w:val="0"/>
      <w:marBottom w:val="0"/>
      <w:divBdr>
        <w:top w:val="none" w:sz="0" w:space="0" w:color="auto"/>
        <w:left w:val="none" w:sz="0" w:space="0" w:color="auto"/>
        <w:bottom w:val="none" w:sz="0" w:space="0" w:color="auto"/>
        <w:right w:val="none" w:sz="0" w:space="0" w:color="auto"/>
      </w:divBdr>
    </w:div>
    <w:div w:id="1693679041">
      <w:bodyDiv w:val="1"/>
      <w:marLeft w:val="0"/>
      <w:marRight w:val="0"/>
      <w:marTop w:val="0"/>
      <w:marBottom w:val="0"/>
      <w:divBdr>
        <w:top w:val="none" w:sz="0" w:space="0" w:color="auto"/>
        <w:left w:val="none" w:sz="0" w:space="0" w:color="auto"/>
        <w:bottom w:val="none" w:sz="0" w:space="0" w:color="auto"/>
        <w:right w:val="none" w:sz="0" w:space="0" w:color="auto"/>
      </w:divBdr>
    </w:div>
    <w:div w:id="174614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954</Words>
  <Characters>5632</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Barbora Horehleďová</dc:creator>
  <cp:lastModifiedBy>Jaroslav Řihánek</cp:lastModifiedBy>
  <cp:revision>3</cp:revision>
  <cp:lastPrinted>2022-08-26T08:06:00Z</cp:lastPrinted>
  <dcterms:created xsi:type="dcterms:W3CDTF">2025-08-28T10:00:00Z</dcterms:created>
  <dcterms:modified xsi:type="dcterms:W3CDTF">2025-08-28T10:04:00Z</dcterms:modified>
</cp:coreProperties>
</file>